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7E" w:rsidRPr="009A017E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ANALİZ ADI: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Gama Radyoaktivite Analizi (Gıda (Cs137/134), Toprak ve Yapı Malzemelerinde (Ra-226, Th-232, K-40, Cs-</w:t>
      </w:r>
      <w:r w:rsidR="00733A6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137) ve diğer numunelerde)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9A017E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FF"/>
          <w:lang w:eastAsia="en-GB"/>
        </w:rPr>
      </w:pP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ÜCRETİ: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TENMAK Temel Mal ve Hizmet Türleri Listesinde yıllık olarak listelenmektedir.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  <w:hyperlink r:id="rId6" w:history="1">
        <w:r w:rsidR="00733A67" w:rsidRPr="00291227">
          <w:rPr>
            <w:rStyle w:val="Kpr"/>
            <w:rFonts w:ascii="Times New Roman" w:eastAsia="Times New Roman" w:hAnsi="Times New Roman" w:cs="Times New Roman"/>
            <w:lang w:eastAsia="en-GB"/>
          </w:rPr>
          <w:t>https://www.tenmak.gov.tr/Belgeler/TENMAK+2021+Y%C4%B1l%C4%B1+Hizmet+ve+%C4%B0%C5%9Flem+Bedelleri+Listesi.pdf</w:t>
        </w:r>
      </w:hyperlink>
    </w:p>
    <w:p w:rsidR="00733A67" w:rsidRDefault="00733A67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A017E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METOT: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ASTM E-181 (2017)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9A017E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AKREDİTASYON (TS EN ISO/IEC 17025):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Gıda (Cs137/134), Toprak ve Yapı Malzemelerinde (Ra-226, Th-232, K-40, Cs-137) Analizi akreditasyon kapsamındadır.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9A017E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Diğer numunelerde için Gama Radyoaktivite Analizi akreditasyon kapsamında değildir.</w:t>
      </w:r>
      <w:r w:rsidR="00B649C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hyperlink r:id="rId7" w:history="1">
        <w:r w:rsidR="00B649C2" w:rsidRPr="00291227">
          <w:rPr>
            <w:rStyle w:val="Kpr"/>
            <w:rFonts w:ascii="Times New Roman" w:eastAsia="Times New Roman" w:hAnsi="Times New Roman" w:cs="Times New Roman"/>
            <w:lang w:eastAsia="en-GB"/>
          </w:rPr>
          <w:t>https://nuken.tenmak.gov.tr/tr/</w:t>
        </w:r>
      </w:hyperlink>
      <w:r w:rsidR="00B649C2">
        <w:rPr>
          <w:rFonts w:ascii="Times New Roman" w:eastAsia="Times New Roman" w:hAnsi="Times New Roman" w:cs="Times New Roman"/>
          <w:color w:val="0000FF"/>
          <w:lang w:eastAsia="en-GB"/>
        </w:rPr>
        <w:t xml:space="preserve">  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( Hizmetlerimiz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) , </w:t>
      </w:r>
      <w:r w:rsidRPr="009A017E">
        <w:rPr>
          <w:rFonts w:ascii="Times New Roman" w:eastAsia="Times New Roman" w:hAnsi="Times New Roman" w:cs="Times New Roman"/>
          <w:color w:val="0000FF"/>
          <w:lang w:eastAsia="en-GB"/>
        </w:rPr>
        <w:t>www.turkak.org.tr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/ (Akredite Kuruluş Arama)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9A017E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YÖNETMELİK-ŞARTNAME (VARSA):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Gıda numunelerinin (Cs137/134) Gama Radyoaktivite Analizi sonuçları, 737/90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sayılı Avrupa Konseyi Tüzüğüne göre değerlendirilir. Yapı malzemelerinin (Ra-226, Th-232, K-40, Cs-137) Gama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Radyoaktivite Analizi sonuçları, Avrupa Komisyonunun 1999 tarih ve 112 nolu Radyasyondan Korunma raporuna göre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değerlendirilir. Belirtilen mevzuat dışında başka bir mevzuata göre değerlendirme yapılması talebi başvuruda belirtilmelidir. Söz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konusu mevzuata ilişkin belge (Yönetmelik, şartname, standart, vs.) Müşteri tarafından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temin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edilmelidir.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9A017E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ANALİZ SÜRESİ: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Gıda analizleri için başvuru evraklarının ve numunenin laboratuvarımıza ulaştığı ve analiz bedelinin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yatırıldığı gün itibari ile 10 iş günüdür. Toprak ve yapı malzemeleri için Başvuru evraklarının ve numunenin laboratuvarımıza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ulaştığı ve analiz bedelinin yatırıldığı gün itibari ile 35 gündür. Diğer numuneler için analiz süresinde farklılık olabilir.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Numunenin türü, durumu ve analiz talebinin içeriğine göre analiz süresi ilgili birime sorulmalıdır.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E81359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NUMUNE KABUL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: Analiz başvurusu e-Devlet bağlantısı üzerinden yapılır. Dairemize başvuruda bulunan Müşterinin, </w:t>
      </w:r>
      <w:r w:rsidRPr="009A017E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>Deney</w:t>
      </w:r>
      <w:r w:rsidR="009A017E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b/>
          <w:bCs/>
          <w:color w:val="0000FF"/>
          <w:lang w:eastAsia="en-GB"/>
        </w:rPr>
        <w:t>Hizmetleri Sözleşmesi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ni okuduğu ve onayladığı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kabul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edilir.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E81359" w:rsidRDefault="00C20680" w:rsidP="00CF3B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Gıda Analizlerinde analizi yapılacak numune için Radyasyon Sertifikası istenilmesi durumunda Radyasyon Sertifikası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Düzenlenmesi talebi, sistem üzerinde ilgili Mal/Hizmet Türü ve Kodu seçilerek ve ilgili dokümanlar doldurularak ayrıca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yapılmalıdır. Başvuru için ihraç ürünlere düzenlenen fatura veya proforma fatura, başvuru ekranında yer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alan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ekler bağlantısı ile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sisteme yüklenir ve numune ile birlikte Dairemize gönderilir.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9A017E" w:rsidRDefault="00C20680" w:rsidP="00E8135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İthal izni talebi durumunda Gümrük Beyannamesi, başvuru ekranında yer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alan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ekler bağlantısı ile sisteme yüklenir ve numune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ile birlikte Dairemize gönderilir.</w:t>
      </w:r>
      <w:r w:rsidR="00E81359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Numune hazırlama işlemi kurutma, öğütme ve eleme işlemlerinden oluşmaktadır. İstenilen numune miktarı, numune hazırlama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işlemi tamamlandıktan sonra en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az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1 litre hacmindeki bir kabı dolduracak mi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ktar olacak şekilde belirlenir ve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tereddüt durumunda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TENAMK-NÜKEN Numune Kabul Birimi (NKB) ile irtibata 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>g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eçilmelidir.</w:t>
      </w:r>
    </w:p>
    <w:p w:rsidR="00435C40" w:rsidRPr="009A017E" w:rsidRDefault="00C20680" w:rsidP="00CF3B6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  <w:t xml:space="preserve">Toprak, sediment, sanayi ürünleri, yapı malzemeleri vb. numuneler sızdırmaz plastik kaplarda en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az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1 lt hacmi dolduracak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şekilde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gönderilmelidir. Kap üzerine numune tanıtım kartı (Tablo </w:t>
      </w:r>
      <w:r w:rsidR="00D45EC0">
        <w:rPr>
          <w:rFonts w:ascii="Times New Roman" w:eastAsia="Times New Roman" w:hAnsi="Times New Roman" w:cs="Times New Roman"/>
          <w:color w:val="000000"/>
          <w:lang w:eastAsia="en-GB"/>
        </w:rPr>
        <w:t>1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) yapıştırılmış olmalıdır. Bu kısımda numunenin yapı malzemesi ya</w:t>
      </w:r>
      <w:r w:rsid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da yapı malzemesi hammaddesi olup olmadığı açıkça belirtilmelidir.</w:t>
      </w:r>
    </w:p>
    <w:p w:rsidR="002D4C78" w:rsidRDefault="002D4C78" w:rsidP="00105D92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CF3B60" w:rsidRDefault="00CF3B60" w:rsidP="00105D92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105D92" w:rsidRPr="00105D92" w:rsidRDefault="00105D92" w:rsidP="002D4C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Tablo 1.Numune Tanıtım Kartı</w:t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1"/>
        <w:gridCol w:w="2300"/>
        <w:gridCol w:w="3103"/>
        <w:gridCol w:w="3260"/>
      </w:tblGrid>
      <w:tr w:rsidR="00E00513" w:rsidRPr="00105D92" w:rsidTr="00973150">
        <w:trPr>
          <w:trHeight w:val="107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3" w:rsidRPr="00105D92" w:rsidRDefault="00E00513" w:rsidP="002D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3" w:rsidRPr="00105D92" w:rsidRDefault="00E00513" w:rsidP="002D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3" w:rsidRPr="00105D92" w:rsidRDefault="00E00513" w:rsidP="002D4C78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TÜRKİYE ATOM ENERJİSİ KURUMU</w:t>
            </w: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br/>
              <w:t>RADYASYON VE HIZLANDIRICI TEKNOLOJİLERİ DAİRESİ</w:t>
            </w: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br/>
              <w:t>BAŞKANLIĞI</w:t>
            </w: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br/>
              <w:t>NUMUNE TANITIM KARTI</w:t>
            </w:r>
          </w:p>
        </w:tc>
      </w:tr>
      <w:tr w:rsidR="00E00513" w:rsidRPr="00105D92" w:rsidTr="002D4C78">
        <w:trPr>
          <w:trHeight w:val="2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0513" w:rsidRPr="00105D92" w:rsidRDefault="00E00513" w:rsidP="002D4C78">
            <w:pPr>
              <w:spacing w:after="0" w:line="240" w:lineRule="auto"/>
              <w:ind w:left="113" w:right="113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en-GB"/>
              </w:rPr>
              <w:t>NUMUNE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16"/>
                <w:szCs w:val="16"/>
                <w:lang w:eastAsia="en-GB"/>
              </w:rPr>
              <w:t>Adı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3" w:rsidRPr="00105D92" w:rsidRDefault="00E00513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</w:p>
        </w:tc>
      </w:tr>
      <w:tr w:rsidR="00E00513" w:rsidRPr="00105D92" w:rsidTr="00973150">
        <w:trPr>
          <w:trHeight w:val="236"/>
        </w:trPr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513" w:rsidRPr="00105D92" w:rsidRDefault="00E00513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Cs/>
                <w:color w:val="000000"/>
                <w:lang w:eastAsia="en-GB"/>
              </w:rPr>
              <w:t>Cinsi</w:t>
            </w:r>
          </w:p>
        </w:tc>
        <w:tc>
          <w:tcPr>
            <w:tcW w:w="6363" w:type="dxa"/>
            <w:gridSpan w:val="2"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0513" w:rsidRPr="00105D92" w:rsidTr="00973150">
        <w:trPr>
          <w:trHeight w:val="236"/>
        </w:trPr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513" w:rsidRPr="00105D92" w:rsidRDefault="00E00513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Miktarı</w:t>
            </w:r>
          </w:p>
        </w:tc>
        <w:tc>
          <w:tcPr>
            <w:tcW w:w="6363" w:type="dxa"/>
            <w:gridSpan w:val="2"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0513" w:rsidRPr="00105D92" w:rsidTr="00973150">
        <w:trPr>
          <w:trHeight w:val="236"/>
        </w:trPr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513" w:rsidRPr="00105D92" w:rsidRDefault="00E00513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Alındığı İl</w:t>
            </w:r>
          </w:p>
        </w:tc>
        <w:tc>
          <w:tcPr>
            <w:tcW w:w="6363" w:type="dxa"/>
            <w:gridSpan w:val="2"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0513" w:rsidRPr="00105D92" w:rsidTr="00973150">
        <w:trPr>
          <w:trHeight w:val="236"/>
        </w:trPr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513" w:rsidRPr="00105D92" w:rsidRDefault="00E00513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Alındığı İlçe</w:t>
            </w:r>
          </w:p>
        </w:tc>
        <w:tc>
          <w:tcPr>
            <w:tcW w:w="6363" w:type="dxa"/>
            <w:gridSpan w:val="2"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0513" w:rsidRPr="00105D92" w:rsidTr="00973150">
        <w:trPr>
          <w:trHeight w:val="236"/>
        </w:trPr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513" w:rsidRPr="00105D92" w:rsidRDefault="00E00513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Alındığı Köy/Mevkii</w:t>
            </w:r>
          </w:p>
        </w:tc>
        <w:tc>
          <w:tcPr>
            <w:tcW w:w="6363" w:type="dxa"/>
            <w:gridSpan w:val="2"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00513" w:rsidRPr="00105D92" w:rsidTr="00973150">
        <w:trPr>
          <w:trHeight w:val="236"/>
        </w:trPr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3" w:rsidRPr="00105D92" w:rsidRDefault="00E00513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Alındığı Tarih</w:t>
            </w:r>
          </w:p>
        </w:tc>
        <w:tc>
          <w:tcPr>
            <w:tcW w:w="6363" w:type="dxa"/>
            <w:gridSpan w:val="2"/>
          </w:tcPr>
          <w:p w:rsidR="00E00513" w:rsidRPr="00105D92" w:rsidRDefault="00E00513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3150" w:rsidRPr="00105D92" w:rsidTr="00E0772A">
        <w:trPr>
          <w:trHeight w:val="21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0" w:rsidRPr="00105D92" w:rsidRDefault="00973150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Koordinat</w:t>
            </w:r>
          </w:p>
        </w:tc>
        <w:tc>
          <w:tcPr>
            <w:tcW w:w="6363" w:type="dxa"/>
            <w:gridSpan w:val="2"/>
          </w:tcPr>
          <w:p w:rsidR="00973150" w:rsidRPr="00105D92" w:rsidRDefault="00973150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3150" w:rsidRPr="00105D92" w:rsidTr="00831E31">
        <w:trPr>
          <w:trHeight w:val="21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0" w:rsidRPr="00105D92" w:rsidRDefault="00973150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Hava Sıcaklığı</w:t>
            </w:r>
          </w:p>
        </w:tc>
        <w:tc>
          <w:tcPr>
            <w:tcW w:w="6363" w:type="dxa"/>
            <w:gridSpan w:val="2"/>
          </w:tcPr>
          <w:p w:rsidR="00973150" w:rsidRPr="00105D92" w:rsidRDefault="00973150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73150" w:rsidRPr="00105D92" w:rsidTr="002A7CCE">
        <w:trPr>
          <w:trHeight w:val="547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0" w:rsidRPr="00105D92" w:rsidRDefault="00973150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Hava Durumu</w:t>
            </w:r>
          </w:p>
        </w:tc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50" w:rsidRPr="00105D92" w:rsidRDefault="00973150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□ Açık □ Kapalı □ Yağışlı</w:t>
            </w:r>
          </w:p>
        </w:tc>
      </w:tr>
      <w:tr w:rsidR="002D4C78" w:rsidRPr="00105D92" w:rsidTr="002D4C78">
        <w:trPr>
          <w:trHeight w:val="340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C78" w:rsidRPr="00105D92" w:rsidRDefault="002D4C78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 xml:space="preserve">Numuneyi Alan Kişinin 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78" w:rsidRPr="00105D92" w:rsidRDefault="002D4C78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Adı-Soyadı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78" w:rsidRPr="00105D92" w:rsidRDefault="002D4C78" w:rsidP="00105D92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Telefon Numarası</w:t>
            </w:r>
          </w:p>
        </w:tc>
      </w:tr>
      <w:tr w:rsidR="002D4C78" w:rsidRPr="00105D92" w:rsidTr="002D4C78">
        <w:trPr>
          <w:trHeight w:val="411"/>
        </w:trPr>
        <w:tc>
          <w:tcPr>
            <w:tcW w:w="3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78" w:rsidRPr="00105D92" w:rsidRDefault="002D4C78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03" w:type="dxa"/>
          </w:tcPr>
          <w:p w:rsidR="002D4C78" w:rsidRPr="00105D92" w:rsidRDefault="002D4C78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</w:tcPr>
          <w:p w:rsidR="002D4C78" w:rsidRPr="00105D92" w:rsidRDefault="002D4C78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4C78" w:rsidRPr="00105D92" w:rsidTr="00B91F4C">
        <w:trPr>
          <w:trHeight w:val="63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78" w:rsidRPr="00105D92" w:rsidRDefault="002D4C78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İstenen Analizler</w:t>
            </w:r>
          </w:p>
        </w:tc>
        <w:tc>
          <w:tcPr>
            <w:tcW w:w="6363" w:type="dxa"/>
            <w:gridSpan w:val="2"/>
          </w:tcPr>
          <w:p w:rsidR="002D4C78" w:rsidRPr="00105D92" w:rsidRDefault="002D4C78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D4C78" w:rsidRPr="00105D92" w:rsidTr="002D4C78">
        <w:trPr>
          <w:trHeight w:val="327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C78" w:rsidRPr="00105D92" w:rsidRDefault="002D4C78" w:rsidP="0010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5D9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en-GB"/>
              </w:rPr>
              <w:t>Not: Alınan numunelerin 5 gün içinde laboratuvara ulaştırılması gerekmektedir.</w:t>
            </w:r>
            <w:r w:rsidRPr="00105D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016DFF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lang w:eastAsia="en-GB"/>
        </w:rPr>
        <w:br/>
      </w: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ANALİZ ve RAPORLAMA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: Gıda analizlerinde analiz sonuçları, Avrupa Birliği mevzuatında belirtilen sınır değerler</w:t>
      </w:r>
      <w:r w:rsidR="00016DF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gözetilerek değerlendirilir.</w:t>
      </w:r>
    </w:p>
    <w:p w:rsidR="00C20680" w:rsidRPr="009A017E" w:rsidRDefault="00C20680" w:rsidP="009A017E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sym w:font="Symbol" w:char="F0B7"/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Bebek Gıdalarında Cs-134/137 &lt; 370 Bq/kg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sym w:font="Symbol" w:char="F0B7"/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 Yetişkin Gıdalarında Cs-134/137 &lt; 600 Bq/kg</w:t>
      </w:r>
    </w:p>
    <w:p w:rsidR="00016DFF" w:rsidRDefault="00C20680" w:rsidP="00016DF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lang w:eastAsia="en-GB"/>
        </w:rPr>
        <w:br/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Numunenin analiz sonuçları, sınır değerler altında tespit edildiği durumda ürünün tüketilmesinde ve ihraç/ithal edilmesinde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sakınca olmadığı yönünde rapor düzenlenir. TENMAK-NÜKEN, Cs-134/137 için ölçülebilir alt sınır değeri (ÖMD) 10 Bq/kg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garanti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eder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C4781B" w:rsidRDefault="00C4781B" w:rsidP="00016DF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0" w:name="_GoBack"/>
      <w:bookmarkEnd w:id="0"/>
    </w:p>
    <w:p w:rsidR="00567E72" w:rsidRDefault="00C20680" w:rsidP="00733A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Tek bir deney talebi ile birden fazla gıda numunesinin analizi talep edildiğinde, gelen numunelerin orijini, tüketim miktarları ve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karışım yapılırken numunelerin homojenliğinin sağlanması hususları dikkate alınarak karışım halinde analiz yapılabilir. Karışım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şeklinde hazırlanarak analizi yapılacak olan numuneler için her bir numuneden eşit miktarda olmak üzere toplamda en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az 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1</w:t>
      </w:r>
      <w:proofErr w:type="gramEnd"/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lt hacmi dolduracak miktarda olmalıdır. N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umune sayısı maksimum 10(on)’dur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>.  K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arışım numunesine ait tek bir deney raporu oluşturulur. Karışım numuneler için sınır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değerleri, numune sayısının karekökü ile ters orantılıdır. Karışım şeklinde hazırlanan numunenin analiz sonucu, karışım yapılan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numune sayısı ile yeniden hesaplanan sınır değerlerden daha yüksek ölçülmüş ise müşteriden tekrar numune istenerek her bir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numune için ayrı analiz yapılır. Fazladan yapılacak bu analizlerin ücreti ayrıca tahsil edilir. Sonuçların ölçülebilen minimum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değerden (ÖMD) daha düşük olması durumunda karışım için raporlanan ÖMD, numune sayısının karekökü ile orantılıdır. Her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bir numune/ numune grubu için 1 adet deney raporu düzenlenir.</w:t>
      </w:r>
    </w:p>
    <w:p w:rsidR="006F6393" w:rsidRDefault="00C20680" w:rsidP="00733A6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İhraç ürünler için radyasyon sertifikası talebi durumunda analiz sonuçları sınır değerler altında tespit edildiği durumda ihraç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edilen numuneye ait faturada belirtilen ve analiz yapılan her bir numune/numune grubu için 1 adet radyasyon sertifikası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düzenlenir. İhraç ürünlere düzenlenen fatura şu bilgileri içermelidir: Ürün bilgileri, Fatura (Proforma) no/tarih, İhracatçı (isim,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adres, ülke), Alıcı firma (isim, adres, ülke), Ürünün üretildiği ülke (Menşei Bilgisi), Gönderilecek ülke. Fatura düzenlenen firma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ile alıcı firma farklı olduğunda her iki firma bilgisi (isim, adres, ülke) başvuruda belirtilmelidir. Radyasyon sertifikasına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Birimimiz tarafından doğruluğu kontrol edilemeyen, yazıldığında Birimimizce onaylandı anlamına gelecek ve analiz sonuçları</w:t>
      </w:r>
      <w:r w:rsidR="00C4781B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ile doğrudan ilişkisi bulunmayan bilgiler yazılamaz. Radyasyon Sertifikası Düzenlenmesi talebi, sistem üzerinde ilgili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  <w:t>Mal/Hizmet Türü ve Kodu seçilerek ve ilgili dokümanlar doldurularak ayrıca yapılmalıdır.</w:t>
      </w:r>
      <w:r w:rsidR="0089634C">
        <w:rPr>
          <w:rFonts w:ascii="Times New Roman" w:eastAsia="Times New Roman" w:hAnsi="Times New Roman" w:cs="Times New Roman"/>
          <w:color w:val="000000"/>
          <w:lang w:eastAsia="en-GB"/>
        </w:rPr>
        <w:t xml:space="preserve"> Çeşitli sebeplerden dolayı yeniden rapor yazılacaksa, bu rapor en fazla 3 ay süre ile yeniden düzenlenebilir ve eskisi ile ilişiklendirilir. Raporun </w:t>
      </w:r>
    </w:p>
    <w:p w:rsidR="00567E72" w:rsidRDefault="00C20680" w:rsidP="00567E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  <w:t>TENMAK-NÜKEN Laboratuvarları, karışım yapılabilecek numune gruplarını, numune çeşitlerini ve</w:t>
      </w:r>
      <w:r w:rsidR="00567E7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miktarları değiştirme</w:t>
      </w:r>
      <w:r w:rsidR="006F639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hakkını saklı tutar.</w:t>
      </w:r>
    </w:p>
    <w:p w:rsidR="006F6393" w:rsidRDefault="006F6393" w:rsidP="00567E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67E72" w:rsidRDefault="00C20680" w:rsidP="00567E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Yapı malzemeleri için bulunan aktivite değerleri kullanılarak aktivite konsantrasyon indisi hesaplanır. İndis değeri Avrupa</w:t>
      </w:r>
      <w:r w:rsidR="00733A6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Komisyonunun 1999 tarih ve 112 nolu Radyasyondan Korunma raporunda bulunan sınır değerler ile karşılaştırılarak</w:t>
      </w:r>
      <w:r w:rsidR="00733A6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kullanılmasında radyolojik açıdan sakınca olup olmadığı hakkında rapor </w:t>
      </w:r>
      <w:r w:rsidR="00733A67">
        <w:rPr>
          <w:rFonts w:ascii="Times New Roman" w:eastAsia="Times New Roman" w:hAnsi="Times New Roman" w:cs="Times New Roman"/>
          <w:color w:val="000000"/>
          <w:lang w:eastAsia="en-GB"/>
        </w:rPr>
        <w:t>d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üzenlenir.</w:t>
      </w:r>
    </w:p>
    <w:p w:rsidR="00567E72" w:rsidRDefault="00C20680" w:rsidP="00567E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  <w:t>Uçucu kül gibi numunelerin aktivite konsantrasyon indis değeri hesaplanarak çimento ve beton gibi yapısal malzemelerde katkı</w:t>
      </w:r>
      <w:r w:rsidR="00733A6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ham maddesi olarak kullanılmasında radyolojik açıdan bir sakınca olup olmadığı hakkında rapor düzenlenir. Eğer indis değeri</w:t>
      </w:r>
      <w:r w:rsidR="00733A6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belli bir değerin üzerinde ise Avrupa Komisyonunun 1999 tarih ve 112 nolu Radyasyondan Korunma raporunda ifade edilen</w:t>
      </w:r>
      <w:r w:rsidR="00733A6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ilkeler doğrultusunda, malzemenin çimento ve beton gibi yapısal malzemelerde katkı ham maddesi olarak ağırlıkça azami hangi</w:t>
      </w:r>
      <w:r w:rsidR="00733A67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oranında kullanılmasında radyolojik açıdan bir sakınca görülmeyeceğine dair rapor düzenlenir.</w:t>
      </w:r>
    </w:p>
    <w:p w:rsidR="00733A67" w:rsidRDefault="00733A67" w:rsidP="00567E7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733A67" w:rsidRDefault="00C20680" w:rsidP="00C4781B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Yapı malzemesi hammaddelerinin/katkı maddelerinin analizinde nihai ürünün analiz esastır.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733A67" w:rsidRDefault="00C20680" w:rsidP="00C4781B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TENMAK-NÜKEN, toprak ve yapı malzemelerinde ölçülebilir alt sınır değerlerini (ÖMD) Ra-226, Th-232 ve K-40 için</w:t>
      </w:r>
      <w:r w:rsidR="00567E7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 xml:space="preserve">sırasıyla 10 Bq/kg, 10 Bq/kg ve 90 Bq/kg olarak garanti </w:t>
      </w:r>
      <w:proofErr w:type="gramStart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eder</w:t>
      </w:r>
      <w:proofErr w:type="gramEnd"/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Pr="009A017E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:rsidR="00C20680" w:rsidRPr="009A017E" w:rsidRDefault="00C20680" w:rsidP="00C4781B">
      <w:pPr>
        <w:spacing w:after="0" w:line="240" w:lineRule="auto"/>
        <w:ind w:left="-284"/>
        <w:rPr>
          <w:rFonts w:ascii="Times New Roman" w:eastAsia="Times New Roman" w:hAnsi="Times New Roman" w:cs="Times New Roman"/>
          <w:lang w:eastAsia="en-GB"/>
        </w:rPr>
      </w:pPr>
      <w:r w:rsidRPr="009A017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İRTİBAT:</w:t>
      </w:r>
    </w:p>
    <w:tbl>
      <w:tblPr>
        <w:tblW w:w="0" w:type="auto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000"/>
        <w:gridCol w:w="3351"/>
      </w:tblGrid>
      <w:tr w:rsidR="00C20680" w:rsidRPr="009A017E" w:rsidTr="00733A6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80" w:rsidRPr="009A017E" w:rsidRDefault="00C20680" w:rsidP="00733A6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en-GB"/>
              </w:rPr>
            </w:pPr>
            <w:r w:rsidRPr="009A01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Enstitü Başkanlığı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80" w:rsidRPr="009A017E" w:rsidRDefault="00C20680" w:rsidP="00733A6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en-GB"/>
              </w:rPr>
            </w:pPr>
            <w:r w:rsidRPr="009A01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Numune Kabul Birimi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80" w:rsidRPr="009A017E" w:rsidRDefault="00C20680" w:rsidP="00733A6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en-GB"/>
              </w:rPr>
            </w:pPr>
            <w:r w:rsidRPr="009A01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Kalite Yönetim Birimi</w:t>
            </w:r>
          </w:p>
        </w:tc>
      </w:tr>
      <w:tr w:rsidR="00C20680" w:rsidRPr="009A017E" w:rsidTr="00733A67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80" w:rsidRPr="009A017E" w:rsidRDefault="00C20680" w:rsidP="00733A6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en-GB"/>
              </w:rPr>
            </w:pPr>
            <w:r w:rsidRPr="009A017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 : (0312) 810 15 00</w:t>
            </w:r>
            <w:r w:rsidRPr="009A017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Faks: (0312) 815 43 07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80" w:rsidRPr="009A017E" w:rsidRDefault="00C20680" w:rsidP="00733A6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en-GB"/>
              </w:rPr>
            </w:pPr>
            <w:r w:rsidRPr="009A017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Tel: (0312) 810 18 50-51</w:t>
            </w:r>
            <w:r w:rsidRPr="009A017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>Faks: (0312) 815 43 08</w:t>
            </w:r>
            <w:r w:rsidRPr="009A017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br/>
              <w:t xml:space="preserve">E-Posta: </w:t>
            </w:r>
            <w:r w:rsidRPr="009A017E">
              <w:rPr>
                <w:rFonts w:ascii="Times New Roman" w:eastAsia="Times New Roman" w:hAnsi="Times New Roman" w:cs="Times New Roman"/>
                <w:color w:val="0000FF"/>
                <w:lang w:eastAsia="en-GB"/>
              </w:rPr>
              <w:t>nkb@taek.gov.tr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80" w:rsidRPr="009A017E" w:rsidRDefault="00C20680" w:rsidP="00733A6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lang w:eastAsia="en-GB"/>
              </w:rPr>
            </w:pPr>
            <w:r w:rsidRPr="009A017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Tel: (0312) 810 18 93-94</w:t>
            </w:r>
          </w:p>
        </w:tc>
      </w:tr>
    </w:tbl>
    <w:p w:rsidR="00F13829" w:rsidRPr="009A017E" w:rsidRDefault="00C20680" w:rsidP="009A017E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9A017E">
        <w:rPr>
          <w:rFonts w:ascii="Times New Roman" w:eastAsia="Times New Roman" w:hAnsi="Times New Roman" w:cs="Times New Roman"/>
          <w:lang w:eastAsia="en-GB"/>
        </w:rPr>
        <w:br/>
      </w:r>
    </w:p>
    <w:p w:rsidR="00435C40" w:rsidRPr="009A017E" w:rsidRDefault="00435C40" w:rsidP="009A017E">
      <w:pPr>
        <w:spacing w:after="0" w:line="240" w:lineRule="auto"/>
        <w:ind w:left="-284"/>
        <w:rPr>
          <w:rFonts w:ascii="Times New Roman" w:hAnsi="Times New Roman" w:cs="Times New Roman"/>
        </w:rPr>
      </w:pPr>
    </w:p>
    <w:sectPr w:rsidR="00435C40" w:rsidRPr="009A017E" w:rsidSect="00435C4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1E" w:rsidRDefault="00D8691E" w:rsidP="00C20680">
      <w:pPr>
        <w:spacing w:after="0" w:line="240" w:lineRule="auto"/>
      </w:pPr>
      <w:r>
        <w:separator/>
      </w:r>
    </w:p>
  </w:endnote>
  <w:endnote w:type="continuationSeparator" w:id="0">
    <w:p w:rsidR="00D8691E" w:rsidRDefault="00D8691E" w:rsidP="00C2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1E" w:rsidRDefault="00D8691E" w:rsidP="00C20680">
      <w:pPr>
        <w:spacing w:after="0" w:line="240" w:lineRule="auto"/>
      </w:pPr>
      <w:r>
        <w:separator/>
      </w:r>
    </w:p>
  </w:footnote>
  <w:footnote w:type="continuationSeparator" w:id="0">
    <w:p w:rsidR="00D8691E" w:rsidRDefault="00D8691E" w:rsidP="00C2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5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11"/>
      <w:gridCol w:w="7771"/>
    </w:tblGrid>
    <w:tr w:rsidR="00AC57D0" w:rsidRPr="004B0A0F" w:rsidTr="00973150">
      <w:trPr>
        <w:trHeight w:val="1265"/>
      </w:trPr>
      <w:tc>
        <w:tcPr>
          <w:tcW w:w="1028" w:type="pct"/>
          <w:vMerge w:val="restart"/>
          <w:shd w:val="clear" w:color="auto" w:fill="auto"/>
          <w:vAlign w:val="center"/>
        </w:tcPr>
        <w:p w:rsidR="00AC57D0" w:rsidRPr="004B0A0F" w:rsidRDefault="00AC57D0" w:rsidP="00C20680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4B0A0F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5DE48FD9" wp14:editId="246F5CFD">
                <wp:simplePos x="0" y="0"/>
                <wp:positionH relativeFrom="margin">
                  <wp:posOffset>173355</wp:posOffset>
                </wp:positionH>
                <wp:positionV relativeFrom="margin">
                  <wp:posOffset>141605</wp:posOffset>
                </wp:positionV>
                <wp:extent cx="810260" cy="971550"/>
                <wp:effectExtent l="0" t="0" r="8890" b="0"/>
                <wp:wrapSquare wrapText="bothSides"/>
                <wp:docPr id="4" name="Resim 4" descr="cid:image003.jpg@01D6F58B.C3F2D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6F58B.C3F2D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72" w:type="pct"/>
          <w:shd w:val="clear" w:color="auto" w:fill="auto"/>
          <w:vAlign w:val="center"/>
        </w:tcPr>
        <w:p w:rsidR="00AC57D0" w:rsidRPr="00C20680" w:rsidRDefault="00AC57D0" w:rsidP="00AC57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20680">
            <w:rPr>
              <w:rFonts w:ascii="Times New Roman" w:hAnsi="Times New Roman" w:cs="Times New Roman"/>
              <w:b/>
              <w:sz w:val="24"/>
              <w:szCs w:val="24"/>
            </w:rPr>
            <w:t>TÜRKİYE ENERJİ,  NÜKLEER VE MADEN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C20680">
            <w:rPr>
              <w:rFonts w:ascii="Times New Roman" w:hAnsi="Times New Roman" w:cs="Times New Roman"/>
              <w:b/>
              <w:sz w:val="24"/>
              <w:szCs w:val="24"/>
            </w:rPr>
            <w:t>ARAŞTIRMA KURUMU</w:t>
          </w:r>
        </w:p>
        <w:p w:rsidR="00AC57D0" w:rsidRPr="00C20680" w:rsidRDefault="00AC57D0" w:rsidP="00C2068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20680">
            <w:rPr>
              <w:rFonts w:ascii="Times New Roman" w:hAnsi="Times New Roman" w:cs="Times New Roman"/>
              <w:b/>
              <w:sz w:val="24"/>
              <w:szCs w:val="24"/>
            </w:rPr>
            <w:t>NÜKLEER ENERJİ ARAŞTIRMA ENSTİTÜSÜ</w:t>
          </w:r>
        </w:p>
        <w:p w:rsidR="00AC57D0" w:rsidRPr="004B0A0F" w:rsidRDefault="00AC57D0" w:rsidP="000670DC">
          <w:pPr>
            <w:keepNext/>
            <w:spacing w:after="0" w:line="240" w:lineRule="auto"/>
            <w:jc w:val="center"/>
            <w:outlineLvl w:val="1"/>
            <w:rPr>
              <w:lang w:val="en-US"/>
            </w:rPr>
          </w:pPr>
        </w:p>
      </w:tc>
    </w:tr>
    <w:tr w:rsidR="00AC57D0" w:rsidRPr="004B0A0F" w:rsidTr="00973150">
      <w:trPr>
        <w:trHeight w:val="920"/>
      </w:trPr>
      <w:tc>
        <w:tcPr>
          <w:tcW w:w="1028" w:type="pct"/>
          <w:vMerge/>
          <w:shd w:val="clear" w:color="auto" w:fill="auto"/>
          <w:vAlign w:val="center"/>
        </w:tcPr>
        <w:p w:rsidR="00AC57D0" w:rsidRPr="004B0A0F" w:rsidRDefault="00AC57D0" w:rsidP="00C20680">
          <w:pPr>
            <w:tabs>
              <w:tab w:val="center" w:pos="4536"/>
              <w:tab w:val="right" w:pos="9072"/>
            </w:tabs>
            <w:rPr>
              <w:noProof/>
              <w:lang w:eastAsia="en-GB"/>
            </w:rPr>
          </w:pPr>
        </w:p>
      </w:tc>
      <w:tc>
        <w:tcPr>
          <w:tcW w:w="3972" w:type="pct"/>
          <w:shd w:val="clear" w:color="auto" w:fill="auto"/>
          <w:vAlign w:val="center"/>
        </w:tcPr>
        <w:p w:rsidR="00AC57D0" w:rsidRPr="00C20680" w:rsidRDefault="00AC57D0" w:rsidP="00AC57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DENEY HİZMET BİLGİ DÖKÜMANI</w:t>
          </w:r>
        </w:p>
      </w:tc>
    </w:tr>
  </w:tbl>
  <w:p w:rsidR="00C20680" w:rsidRDefault="00C206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80"/>
    <w:rsid w:val="00016DFF"/>
    <w:rsid w:val="000670DC"/>
    <w:rsid w:val="00105D92"/>
    <w:rsid w:val="002D4C78"/>
    <w:rsid w:val="00435C40"/>
    <w:rsid w:val="004A2745"/>
    <w:rsid w:val="00567E72"/>
    <w:rsid w:val="006F6393"/>
    <w:rsid w:val="00733A67"/>
    <w:rsid w:val="00736A6C"/>
    <w:rsid w:val="00851538"/>
    <w:rsid w:val="0089634C"/>
    <w:rsid w:val="00973150"/>
    <w:rsid w:val="009A017E"/>
    <w:rsid w:val="00AC57D0"/>
    <w:rsid w:val="00B649C2"/>
    <w:rsid w:val="00BC2AD8"/>
    <w:rsid w:val="00C20680"/>
    <w:rsid w:val="00C4781B"/>
    <w:rsid w:val="00CF3B60"/>
    <w:rsid w:val="00D45EC0"/>
    <w:rsid w:val="00D8691E"/>
    <w:rsid w:val="00E00513"/>
    <w:rsid w:val="00E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942865-6169-49DA-9E82-CD94C2F5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680"/>
  </w:style>
  <w:style w:type="paragraph" w:styleId="Altbilgi">
    <w:name w:val="footer"/>
    <w:basedOn w:val="Normal"/>
    <w:link w:val="AltbilgiChar"/>
    <w:uiPriority w:val="99"/>
    <w:unhideWhenUsed/>
    <w:rsid w:val="00C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680"/>
  </w:style>
  <w:style w:type="character" w:styleId="Kpr">
    <w:name w:val="Hyperlink"/>
    <w:basedOn w:val="VarsaylanParagrafYazTipi"/>
    <w:uiPriority w:val="99"/>
    <w:unhideWhenUsed/>
    <w:rsid w:val="00733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uken.tenmak.gov.tr/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nmak.gov.tr/Belgeler/TENMAK+2021+Y%C4%B1l%C4%B1+Hizmet+ve+%C4%B0%C5%9Flem+Bedelleri+Listesi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F58B.C3F2D9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Asiye Başsarı</dc:creator>
  <cp:keywords/>
  <dc:description/>
  <cp:lastModifiedBy>Asiye Başsarı</cp:lastModifiedBy>
  <cp:revision>17</cp:revision>
  <dcterms:created xsi:type="dcterms:W3CDTF">2021-08-13T05:47:00Z</dcterms:created>
  <dcterms:modified xsi:type="dcterms:W3CDTF">2021-09-01T11:02:00Z</dcterms:modified>
</cp:coreProperties>
</file>